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hint="eastAsia" w:ascii="方正小标宋简体" w:hAnsi="黑体" w:eastAsia="方正小标宋简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333333"/>
          <w:kern w:val="36"/>
          <w:szCs w:val="32"/>
        </w:rPr>
        <w:t>附件1</w:t>
      </w:r>
    </w:p>
    <w:p>
      <w:pPr>
        <w:adjustRightInd w:val="0"/>
        <w:snapToGrid w:val="0"/>
        <w:spacing w:line="570" w:lineRule="exact"/>
        <w:jc w:val="center"/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  <w:t>河南省矿业协会团体标准制定（修订）工作流程图</w:t>
      </w:r>
    </w:p>
    <w:p>
      <w:pPr>
        <w:adjustRightInd w:val="0"/>
        <w:snapToGrid w:val="0"/>
        <w:spacing w:line="240" w:lineRule="exact"/>
        <w:jc w:val="center"/>
        <w:rPr>
          <w:rFonts w:hint="eastAsia" w:ascii="华文中宋" w:hAnsi="华文中宋" w:eastAsia="华文中宋" w:cs="黑体"/>
          <w:bCs/>
          <w:color w:val="000000"/>
          <w:kern w:val="0"/>
          <w:sz w:val="21"/>
          <w:szCs w:val="21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28"/>
          <w:szCs w:val="28"/>
        </w:rPr>
      </w:pPr>
      <w:r>
        <w:rPr>
          <w:rFonts w:hint="eastAsia"/>
        </w:rPr>
        <w:object>
          <v:shape id="_x0000_i1025" o:spt="75" type="#_x0000_t75" style="height:549.1pt;width:337.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  <w:r>
        <w:rPr>
          <w:rFonts w:ascii="方正小标宋简体" w:hAnsi="黑体" w:eastAsia="方正小标宋简体" w:cs="黑体"/>
          <w:bCs/>
          <w:color w:val="000000"/>
          <w:kern w:val="0"/>
          <w:sz w:val="28"/>
          <w:szCs w:val="28"/>
        </w:rPr>
        <w:br w:type="page"/>
      </w:r>
    </w:p>
    <w:p>
      <w:pPr>
        <w:widowControl/>
        <w:shd w:val="clear" w:color="auto" w:fill="FFFFFF"/>
        <w:spacing w:line="360" w:lineRule="auto"/>
        <w:jc w:val="left"/>
        <w:outlineLvl w:val="0"/>
        <w:rPr>
          <w:rFonts w:hint="eastAsia" w:ascii="黑体" w:hAnsi="黑体" w:eastAsia="黑体" w:cs="宋体"/>
          <w:color w:val="333333"/>
          <w:kern w:val="36"/>
          <w:szCs w:val="32"/>
        </w:rPr>
      </w:pPr>
      <w:r>
        <w:rPr>
          <w:rFonts w:hint="eastAsia" w:ascii="黑体" w:hAnsi="黑体" w:eastAsia="黑体" w:cs="宋体"/>
          <w:color w:val="333333"/>
          <w:kern w:val="36"/>
          <w:szCs w:val="32"/>
        </w:rPr>
        <w:t>附件2</w:t>
      </w:r>
    </w:p>
    <w:p>
      <w:pPr>
        <w:adjustRightInd w:val="0"/>
        <w:snapToGrid w:val="0"/>
        <w:spacing w:line="570" w:lineRule="exact"/>
        <w:jc w:val="center"/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  <w:t>河南省矿业协会团体标准制定（修订）项目</w:t>
      </w:r>
    </w:p>
    <w:p>
      <w:pPr>
        <w:adjustRightInd w:val="0"/>
        <w:snapToGrid w:val="0"/>
        <w:spacing w:line="570" w:lineRule="exact"/>
        <w:jc w:val="center"/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  <w:t>申报表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227"/>
        <w:gridCol w:w="283"/>
        <w:gridCol w:w="2031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制定或修订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制定□    修订□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pacing w:val="-20"/>
                <w:kern w:val="0"/>
                <w:sz w:val="28"/>
                <w:szCs w:val="28"/>
              </w:rPr>
              <w:t>被修订标准编号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主要起草单位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参与起草单位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制定（修订）标准的目的、意义和必要性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拟解决的关键问题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工作计划安排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主要技术内容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运行后预计取得的成效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与有关法律法规和强制性标准的关系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采用国际标准情况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项目承担单位的能力和保证措施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（可另行附页）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经费落实情况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计划起止时间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从     年    月起至     年    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1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主要起草单位意见</w:t>
            </w:r>
          </w:p>
        </w:tc>
        <w:tc>
          <w:tcPr>
            <w:tcW w:w="394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协会审查意见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431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760" w:firstLineChars="1000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（盖公章）</w:t>
            </w:r>
          </w:p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 xml:space="preserve">                  年  月   日</w:t>
            </w:r>
          </w:p>
        </w:tc>
        <w:tc>
          <w:tcPr>
            <w:tcW w:w="394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932" w:firstLineChars="700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346" w:firstLineChars="850"/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>（盖公章）</w:t>
            </w:r>
          </w:p>
          <w:p>
            <w:pPr>
              <w:adjustRightInd w:val="0"/>
              <w:snapToGrid w:val="0"/>
              <w:rPr>
                <w:rFonts w:hint="eastAsia" w:ascii="方正小标宋简体" w:hAnsi="黑体" w:eastAsia="方正小标宋简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6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0" w:lineRule="exac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24"/>
                <w:szCs w:val="24"/>
              </w:rPr>
              <w:t>附：团体标准草稿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outlineLvl w:val="0"/>
        <w:rPr>
          <w:rFonts w:hint="eastAsia" w:ascii="黑体" w:hAnsi="黑体" w:eastAsia="黑体" w:cs="宋体"/>
          <w:color w:val="333333"/>
          <w:kern w:val="36"/>
          <w:szCs w:val="32"/>
        </w:rPr>
      </w:pPr>
      <w:r>
        <w:rPr>
          <w:rFonts w:hint="eastAsia" w:ascii="黑体" w:hAnsi="黑体" w:eastAsia="黑体" w:cs="宋体"/>
          <w:color w:val="333333"/>
          <w:kern w:val="36"/>
          <w:szCs w:val="32"/>
        </w:rPr>
        <w:t>附件3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spacing w:line="0" w:lineRule="atLeas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  <w:t xml:space="preserve">ICS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  <w:t>号</w:t>
            </w:r>
          </w:p>
          <w:p>
            <w:pPr>
              <w:spacing w:line="0" w:lineRule="atLeas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  <w:t xml:space="preserve">CCS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  <w:t>号</w:t>
            </w:r>
          </w:p>
          <w:p>
            <w:pPr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spacing w:line="0" w:lineRule="atLeast"/>
              <w:jc w:val="distribute"/>
              <w:rPr>
                <w:rFonts w:ascii="Times New Roman" w:hAnsi="Times New Roman" w:eastAsia="黑体" w:cs="Times New Roman"/>
                <w:color w:val="000000"/>
                <w:spacing w:val="-40"/>
                <w:kern w:val="0"/>
                <w:sz w:val="48"/>
                <w:szCs w:val="52"/>
              </w:rPr>
            </w:pPr>
            <w:r>
              <w:rPr>
                <w:rFonts w:ascii="Times New Roman" w:hAnsi="Times New Roman" w:eastAsia="黑体" w:cs="Times New Roman"/>
                <w:color w:val="000000"/>
                <w:spacing w:val="-40"/>
                <w:kern w:val="0"/>
                <w:sz w:val="48"/>
                <w:szCs w:val="52"/>
              </w:rPr>
              <w:t>团体标准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T/HNKX XXX-XXXX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widowControl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68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52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kern w:val="0"/>
                <w:sz w:val="52"/>
                <w:szCs w:val="20"/>
              </w:rPr>
              <w:t>标准名称</w:t>
            </w: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XXXX-XX-XX发布                      XXXX-XX-XX实施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29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spacing w:val="20"/>
                <w:w w:val="135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20"/>
                <w:w w:val="135"/>
                <w:kern w:val="0"/>
                <w:sz w:val="28"/>
                <w:szCs w:val="20"/>
              </w:rPr>
              <w:t>河南省矿业</w:t>
            </w:r>
            <w:r>
              <w:rPr>
                <w:rFonts w:ascii="Times New Roman" w:hAnsi="Times New Roman" w:eastAsia="黑体" w:cs="Times New Roman"/>
                <w:color w:val="000000"/>
                <w:spacing w:val="20"/>
                <w:w w:val="135"/>
                <w:kern w:val="0"/>
                <w:sz w:val="28"/>
                <w:szCs w:val="20"/>
              </w:rPr>
              <w:t>协会</w:t>
            </w:r>
            <w:r>
              <w:rPr>
                <w:rFonts w:hint="eastAsia" w:ascii="Times New Roman" w:hAnsi="Times New Roman" w:eastAsia="黑体" w:cs="Times New Roman"/>
                <w:color w:val="000000"/>
                <w:spacing w:val="20"/>
                <w:w w:val="135"/>
                <w:kern w:val="0"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/>
                <w:spacing w:val="85"/>
                <w:kern w:val="0"/>
                <w:position w:val="3"/>
                <w:sz w:val="28"/>
                <w:szCs w:val="28"/>
              </w:rPr>
              <w:t>发布</w:t>
            </w:r>
          </w:p>
        </w:tc>
      </w:tr>
    </w:tbl>
    <w:p>
      <w:pPr>
        <w:widowControl/>
        <w:jc w:val="left"/>
        <w:rPr>
          <w:rFonts w:hint="eastAsia" w:ascii="黑体" w:hAnsi="黑体" w:eastAsia="黑体" w:cs="宋体"/>
          <w:color w:val="333333"/>
          <w:kern w:val="36"/>
          <w:szCs w:val="32"/>
        </w:rPr>
      </w:pPr>
      <w:r>
        <w:rPr>
          <w:rFonts w:hint="eastAsia" w:ascii="黑体" w:hAnsi="黑体" w:eastAsia="黑体" w:cs="宋体"/>
          <w:color w:val="333333"/>
          <w:kern w:val="36"/>
          <w:szCs w:val="32"/>
        </w:rPr>
        <w:br w:type="page"/>
      </w:r>
    </w:p>
    <w:p>
      <w:pPr>
        <w:widowControl/>
        <w:shd w:val="clear" w:color="auto" w:fill="FFFFFF"/>
        <w:spacing w:line="360" w:lineRule="auto"/>
        <w:jc w:val="left"/>
        <w:outlineLvl w:val="0"/>
        <w:rPr>
          <w:rFonts w:hint="eastAsia" w:ascii="黑体" w:hAnsi="黑体" w:eastAsia="黑体" w:cs="宋体"/>
          <w:color w:val="333333"/>
          <w:kern w:val="36"/>
          <w:szCs w:val="32"/>
        </w:rPr>
      </w:pPr>
      <w:r>
        <w:rPr>
          <w:rFonts w:hint="eastAsia" w:ascii="黑体" w:hAnsi="黑体" w:eastAsia="黑体" w:cs="宋体"/>
          <w:color w:val="333333"/>
          <w:kern w:val="36"/>
          <w:szCs w:val="32"/>
        </w:rPr>
        <w:t>附件4</w:t>
      </w:r>
    </w:p>
    <w:p>
      <w:pPr>
        <w:adjustRightInd w:val="0"/>
        <w:snapToGrid w:val="0"/>
        <w:spacing w:line="570" w:lineRule="exact"/>
        <w:jc w:val="center"/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  <w:t>河南省矿业协会团体标准编制说明大纲</w:t>
      </w:r>
    </w:p>
    <w:p>
      <w:pPr>
        <w:adjustRightInd w:val="0"/>
        <w:snapToGrid w:val="0"/>
        <w:spacing w:line="570" w:lineRule="exact"/>
        <w:jc w:val="center"/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一、编制的目的和意义</w:t>
      </w: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二、任务来源及编制原则和依据</w:t>
      </w: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三、编写过程</w:t>
      </w: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四、主要内容的确定</w:t>
      </w: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五、采标情况</w:t>
      </w: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六、重大意见分歧的处理</w:t>
      </w: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七、与国家法律法规和强制性标准的关系</w:t>
      </w: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八、标准实施的建议</w:t>
      </w:r>
    </w:p>
    <w:p>
      <w:pPr>
        <w:widowControl/>
        <w:shd w:val="clear" w:color="auto" w:fill="FFFFFF"/>
        <w:spacing w:line="560" w:lineRule="exact"/>
        <w:ind w:firstLine="632" w:firstLineChars="200"/>
        <w:jc w:val="left"/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cs="宋体"/>
          <w:color w:val="333333"/>
          <w:kern w:val="0"/>
          <w:szCs w:val="32"/>
        </w:rPr>
        <w:t>九、其他应予说明的事项</w:t>
      </w:r>
    </w:p>
    <w:p>
      <w:pPr>
        <w:widowControl/>
        <w:spacing w:line="560" w:lineRule="exact"/>
        <w:jc w:val="left"/>
        <w:rPr>
          <w:szCs w:val="32"/>
        </w:rPr>
      </w:pPr>
      <w:r>
        <w:rPr>
          <w:szCs w:val="32"/>
        </w:rPr>
        <w:br w:type="page"/>
      </w:r>
    </w:p>
    <w:p>
      <w:pPr>
        <w:widowControl/>
        <w:shd w:val="clear" w:color="auto" w:fill="FFFFFF"/>
        <w:spacing w:line="360" w:lineRule="auto"/>
        <w:jc w:val="left"/>
        <w:outlineLvl w:val="0"/>
        <w:rPr>
          <w:rFonts w:hint="eastAsia" w:ascii="黑体" w:hAnsi="黑体" w:eastAsia="黑体" w:cs="宋体"/>
          <w:color w:val="333333"/>
          <w:kern w:val="36"/>
          <w:szCs w:val="32"/>
        </w:rPr>
      </w:pPr>
      <w:r>
        <w:rPr>
          <w:rFonts w:hint="eastAsia" w:ascii="黑体" w:hAnsi="黑体" w:eastAsia="黑体" w:cs="宋体"/>
          <w:color w:val="333333"/>
          <w:kern w:val="36"/>
          <w:szCs w:val="32"/>
        </w:rPr>
        <w:t>附件5</w:t>
      </w:r>
    </w:p>
    <w:p>
      <w:pPr>
        <w:adjustRightInd w:val="0"/>
        <w:snapToGrid w:val="0"/>
        <w:spacing w:line="570" w:lineRule="exact"/>
        <w:jc w:val="center"/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  <w:t>河南省矿业协会团体标准征求意见表</w:t>
      </w:r>
    </w:p>
    <w:tbl>
      <w:tblPr>
        <w:tblStyle w:val="3"/>
        <w:tblpPr w:leftFromText="180" w:rightFromText="180" w:vertAnchor="text" w:horzAnchor="page" w:tblpX="1827" w:tblpY="35"/>
        <w:tblOverlap w:val="never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974"/>
        <w:gridCol w:w="708"/>
        <w:gridCol w:w="1592"/>
        <w:gridCol w:w="70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标准名称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提议单位</w:t>
            </w:r>
          </w:p>
        </w:tc>
        <w:tc>
          <w:tcPr>
            <w:tcW w:w="4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传真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提议专家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职务职称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电话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4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电子邮件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章条编号</w:t>
            </w:r>
          </w:p>
        </w:tc>
        <w:tc>
          <w:tcPr>
            <w:tcW w:w="4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具体修改意见和建议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</w:p>
        </w:tc>
      </w:tr>
    </w:tbl>
    <w:p>
      <w:pPr>
        <w:adjustRightInd w:val="0"/>
        <w:snapToGrid w:val="0"/>
        <w:spacing w:line="570" w:lineRule="exact"/>
        <w:jc w:val="center"/>
        <w:rPr>
          <w:rFonts w:hint="eastAsia" w:ascii="华文中宋" w:hAnsi="华文中宋" w:eastAsia="华文中宋" w:cs="黑体"/>
          <w:bCs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70" w:lineRule="exact"/>
        <w:jc w:val="center"/>
        <w:rPr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425" w:num="1"/>
          <w:docGrid w:type="linesAndChars" w:linePitch="579" w:charSpace="-849"/>
        </w:sectPr>
      </w:pPr>
    </w:p>
    <w:p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-1468755</wp:posOffset>
                </wp:positionH>
                <wp:positionV relativeFrom="paragraph">
                  <wp:posOffset>1633855</wp:posOffset>
                </wp:positionV>
                <wp:extent cx="8475345" cy="5439410"/>
                <wp:effectExtent l="0" t="0" r="8890" b="190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75345" cy="543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360" w:lineRule="auto"/>
                              <w:jc w:val="left"/>
                              <w:outlineLvl w:val="0"/>
                              <w:rPr>
                                <w:rFonts w:hint="eastAsia" w:ascii="黑体" w:hAnsi="黑体" w:eastAsia="黑体" w:cs="宋体"/>
                                <w:color w:val="333333"/>
                                <w:kern w:val="36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color w:val="333333"/>
                                <w:kern w:val="36"/>
                                <w:szCs w:val="32"/>
                              </w:rPr>
                              <w:t>附件6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70" w:lineRule="exact"/>
                              <w:jc w:val="center"/>
                              <w:rPr>
                                <w:rFonts w:hint="eastAsia" w:ascii="华文中宋" w:hAnsi="华文中宋" w:eastAsia="华文中宋" w:cs="黑体"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黑体"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河南省矿业协会团体标准征求意见汇总表</w:t>
                            </w:r>
                          </w:p>
                          <w:p>
                            <w:pPr>
                              <w:ind w:firstLine="320" w:firstLineChars="100"/>
                              <w:rPr>
                                <w:rFonts w:ascii="Calibri" w:eastAsia="宋体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标准名称：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 xml:space="preserve">   承办人：        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电话：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第  页共  页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tbl>
                            <w:tblPr>
                              <w:tblStyle w:val="3"/>
                              <w:tblW w:w="4970" w:type="pct"/>
                              <w:jc w:val="center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01"/>
                              <w:gridCol w:w="1145"/>
                              <w:gridCol w:w="1444"/>
                              <w:gridCol w:w="1344"/>
                              <w:gridCol w:w="1090"/>
                              <w:gridCol w:w="796"/>
                              <w:gridCol w:w="2871"/>
                              <w:gridCol w:w="3689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职称或职务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标准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章条编号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意见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处理意见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(采纳、部分采纳、未采纳)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备注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（部分采纳、未采纳理由及依据）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>
                                  <w:pPr>
                                    <w:ind w:firstLine="210" w:firstLineChars="100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hAnsi="仿宋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12" w:hRule="atLeast"/>
                                <w:jc w:val="center"/>
                              </w:trPr>
                              <w:tc>
                                <w:tcPr>
                                  <w:tcW w:w="788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说明</w:t>
                                  </w:r>
                                </w:p>
                              </w:tc>
                              <w:tc>
                                <w:tcPr>
                                  <w:tcW w:w="12174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①发送“征求意见稿”的单位或专家数：</w:t>
                                  </w:r>
                                  <w:r>
                                    <w:rPr>
                                      <w:rFonts w:ascii="仿宋" w:hAnsi="仿宋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个。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②收到“征求意见稿”后，回函的单位或专家数：</w:t>
                                  </w:r>
                                  <w:r>
                                    <w:rPr>
                                      <w:rFonts w:ascii="仿宋" w:hAnsi="仿宋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个。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③收到“征求意见稿”后，回函并有建议或意见的单位或专家数：</w:t>
                                  </w:r>
                                  <w:r>
                                    <w:rPr>
                                      <w:rFonts w:ascii="仿宋" w:hAnsi="仿宋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个。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④没有回函的单位或专家数：</w:t>
                                  </w:r>
                                  <w:r>
                                    <w:rPr>
                                      <w:rFonts w:ascii="仿宋" w:hAnsi="仿宋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" w:hAnsi="仿宋"/>
                                      <w:sz w:val="21"/>
                                      <w:szCs w:val="21"/>
                                    </w:rPr>
                                    <w:t>个。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5.65pt;margin-top:128.65pt;height:428.3pt;width:667.35pt;mso-wrap-distance-bottom:3.6pt;mso-wrap-distance-left:9pt;mso-wrap-distance-right:9pt;mso-wrap-distance-top:3.6pt;rotation:-5898240f;z-index:251659264;mso-width-relative:page;mso-height-relative:page;" fillcolor="#FFFFFF" filled="t" stroked="f" coordsize="21600,21600" o:gfxdata="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cXq5veAAAADgEAAA8AAAAAAAAA&#10;AQAgAAAAIgAAAGRycy9kb3ducmV2LnhtbFBLAQIUABQAAAAIAIdO4kDoMIXmRAIAAGQEAAAOAAAA&#10;AAAAAAEAIAAAAC0BAABkcnMvZTJvRG9jLnhtbFBLBQYAAAAABgAGAFkBAADj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line="360" w:lineRule="auto"/>
                        <w:jc w:val="left"/>
                        <w:outlineLvl w:val="0"/>
                        <w:rPr>
                          <w:rFonts w:hint="eastAsia" w:ascii="黑体" w:hAnsi="黑体" w:eastAsia="黑体" w:cs="宋体"/>
                          <w:color w:val="333333"/>
                          <w:kern w:val="36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color w:val="333333"/>
                          <w:kern w:val="36"/>
                          <w:szCs w:val="32"/>
                        </w:rPr>
                        <w:t>附件6</w:t>
                      </w:r>
                    </w:p>
                    <w:p>
                      <w:pPr>
                        <w:adjustRightInd w:val="0"/>
                        <w:snapToGrid w:val="0"/>
                        <w:spacing w:line="570" w:lineRule="exact"/>
                        <w:jc w:val="center"/>
                        <w:rPr>
                          <w:rFonts w:hint="eastAsia" w:ascii="华文中宋" w:hAnsi="华文中宋" w:eastAsia="华文中宋" w:cs="黑体"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华文中宋" w:hAnsi="华文中宋" w:eastAsia="华文中宋" w:cs="黑体"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河南省矿业协会团体标准征求意见汇总表</w:t>
                      </w:r>
                    </w:p>
                    <w:p>
                      <w:pPr>
                        <w:ind w:firstLine="320" w:firstLineChars="100"/>
                        <w:rPr>
                          <w:rFonts w:ascii="Calibri" w:eastAsia="宋体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                                                                                                    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>标准名称：</w:t>
                      </w:r>
                      <w:r>
                        <w:rPr>
                          <w:rFonts w:ascii="仿宋" w:hAnsi="仿宋"/>
                          <w:sz w:val="21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仿宋" w:hAnsi="仿宋"/>
                          <w:sz w:val="21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 xml:space="preserve">   承办人：        </w:t>
                      </w:r>
                      <w:r>
                        <w:rPr>
                          <w:rFonts w:ascii="仿宋" w:hAnsi="仿宋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>电话：</w:t>
                      </w:r>
                      <w:r>
                        <w:rPr>
                          <w:rFonts w:ascii="仿宋" w:hAnsi="仿宋"/>
                          <w:sz w:val="21"/>
                          <w:szCs w:val="21"/>
                        </w:rPr>
                        <w:t xml:space="preserve">                     </w:t>
                      </w: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>第  页共  页</w:t>
                      </w:r>
                      <w:r>
                        <w:rPr>
                          <w:rFonts w:ascii="仿宋" w:hAnsi="仿宋"/>
                          <w:sz w:val="21"/>
                          <w:szCs w:val="21"/>
                        </w:rPr>
                        <w:t xml:space="preserve">      </w:t>
                      </w: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仿宋" w:hAnsi="仿宋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仿宋" w:hAnsi="仿宋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仿宋" w:hAnsi="仿宋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仿宋" w:hAnsi="仿宋"/>
                          <w:sz w:val="21"/>
                          <w:szCs w:val="21"/>
                        </w:rPr>
                        <w:t>日</w:t>
                      </w:r>
                    </w:p>
                    <w:tbl>
                      <w:tblPr>
                        <w:tblStyle w:val="3"/>
                        <w:tblW w:w="4970" w:type="pct"/>
                        <w:jc w:val="center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01"/>
                        <w:gridCol w:w="1145"/>
                        <w:gridCol w:w="1444"/>
                        <w:gridCol w:w="1344"/>
                        <w:gridCol w:w="1090"/>
                        <w:gridCol w:w="796"/>
                        <w:gridCol w:w="2871"/>
                        <w:gridCol w:w="3689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788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职称或职务</w:t>
                            </w: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标准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章条编号</w:t>
                            </w: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意见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处理意见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(采纳、部分采纳、未采纳)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备注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（部分采纳、未采纳理由及依据）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78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>
                            <w:pPr>
                              <w:ind w:firstLine="210" w:firstLineChars="100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78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78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78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78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2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12" w:hRule="atLeast"/>
                          <w:jc w:val="center"/>
                        </w:trPr>
                        <w:tc>
                          <w:tcPr>
                            <w:tcW w:w="788" w:type="dxa"/>
                            <w:vAlign w:val="center"/>
                          </w:tcPr>
                          <w:p>
                            <w:pP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说明</w:t>
                            </w:r>
                          </w:p>
                        </w:tc>
                        <w:tc>
                          <w:tcPr>
                            <w:tcW w:w="12174" w:type="dxa"/>
                            <w:gridSpan w:val="7"/>
                            <w:vAlign w:val="center"/>
                          </w:tcPr>
                          <w:p>
                            <w:pP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①发送“征求意见稿”的单位或专家数：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个。</w:t>
                            </w:r>
                          </w:p>
                          <w:p>
                            <w:pP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②收到“征求意见稿”后，回函的单位或专家数：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个。</w:t>
                            </w:r>
                          </w:p>
                          <w:p>
                            <w:pP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③收到“征求意见稿”后，回函并有建议或意见的单位或专家数：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个。</w:t>
                            </w:r>
                          </w:p>
                          <w:p>
                            <w:pP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④没有回函的单位或专家数：</w:t>
                            </w:r>
                            <w:r>
                              <w:rPr>
                                <w:rFonts w:ascii="仿宋" w:hAnsi="仿宋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/>
                                <w:sz w:val="21"/>
                                <w:szCs w:val="21"/>
                              </w:rPr>
                              <w:t>个。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1418227"/>
      <w:docPartObj>
        <w:docPartGallery w:val="autotext"/>
      </w:docPartObj>
    </w:sdtPr>
    <w:sdtContent>
      <w:p>
        <w:pPr>
          <w:pStyle w:val="2"/>
          <w:jc w:val="lef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TE5MzY1MDA2MjczZmFkMTlkMmViYTQ1NThkZjUifQ=="/>
  </w:docVars>
  <w:rsids>
    <w:rsidRoot w:val="00000000"/>
    <w:rsid w:val="14C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right="320" w:rightChars="100"/>
      <w:jc w:val="right"/>
    </w:pPr>
    <w:rPr>
      <w:rFonts w:asciiTheme="minorEastAsia" w:hAnsiTheme="minorEastAsia" w:eastAsiaTheme="minorEastAsia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2024-07-15T10:01:40Z</dcterms:created>
  <dc:creator>dell</dc:creator>
  <cp:lastModifiedBy>高昂</cp:lastModifiedBy>
  <dcterms:modified xsi:type="dcterms:W3CDTF">2024-07-15T10:02:11Z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E9F8B1188CB2411A8F32CF79A958E48C_12</vt:lpwstr>
  </property>
</Properties>
</file>